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1715" w:rsidRDefault="00AF1715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Bojszowianie</w:t>
      </w:r>
      <w:proofErr w:type="spellEnd"/>
      <w:r>
        <w:rPr>
          <w:rFonts w:ascii="Century Gothic" w:hAnsi="Century Gothic"/>
          <w:sz w:val="20"/>
          <w:szCs w:val="20"/>
        </w:rPr>
        <w:t xml:space="preserve"> w Zebrzydowicach</w:t>
      </w:r>
    </w:p>
    <w:p w:rsidR="00AF1715" w:rsidRPr="00AF1715" w:rsidRDefault="00AF171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Zespół Folklorystyczny „</w:t>
      </w:r>
      <w:proofErr w:type="spellStart"/>
      <w:r>
        <w:rPr>
          <w:rFonts w:ascii="Century Gothic" w:hAnsi="Century Gothic"/>
          <w:sz w:val="20"/>
          <w:szCs w:val="20"/>
        </w:rPr>
        <w:t>Bojszowianie</w:t>
      </w:r>
      <w:proofErr w:type="spellEnd"/>
      <w:r>
        <w:rPr>
          <w:rFonts w:ascii="Century Gothic" w:hAnsi="Century Gothic"/>
          <w:sz w:val="20"/>
          <w:szCs w:val="20"/>
        </w:rPr>
        <w:t>” wraz z Kapelą promowali Gminę Bojszowy w Zebrzydowicach na Międzynarodowym Przeglądzie Zespołów Regionalnych „Złoty Kłos”, który odbywał się między 1 a 3 maja. W festiwalu wzięło udział aż 61 zespołów. W kategorii zespołów śpiewaczych z towarzyszeniem instrumentów muzycznych „</w:t>
      </w:r>
      <w:proofErr w:type="spellStart"/>
      <w:r>
        <w:rPr>
          <w:rFonts w:ascii="Century Gothic" w:hAnsi="Century Gothic"/>
          <w:sz w:val="20"/>
          <w:szCs w:val="20"/>
        </w:rPr>
        <w:t>Bojszowianie</w:t>
      </w:r>
      <w:proofErr w:type="spellEnd"/>
      <w:r>
        <w:rPr>
          <w:rFonts w:ascii="Century Gothic" w:hAnsi="Century Gothic"/>
          <w:sz w:val="20"/>
          <w:szCs w:val="20"/>
        </w:rPr>
        <w:t xml:space="preserve">” zajęli II miejsce, a Kapela w swojej kategorii otrzymała I miejsce. Ogromne gratulacje! Sezon przeglądów i festiwali uważamy za otwarty, więc czekamy na kolejne tytuły i </w:t>
      </w:r>
      <w:r w:rsidR="00DB3D7E">
        <w:rPr>
          <w:rFonts w:ascii="Century Gothic" w:hAnsi="Century Gothic"/>
          <w:sz w:val="20"/>
          <w:szCs w:val="20"/>
        </w:rPr>
        <w:t>wyróżnienia.</w:t>
      </w:r>
      <w:r>
        <w:rPr>
          <w:rFonts w:ascii="Century Gothic" w:hAnsi="Century Gothic"/>
          <w:sz w:val="20"/>
          <w:szCs w:val="20"/>
        </w:rPr>
        <w:t xml:space="preserve"> </w:t>
      </w:r>
    </w:p>
    <w:sectPr w:rsidR="00AF1715" w:rsidRPr="00AF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5"/>
    <w:rsid w:val="00AF1715"/>
    <w:rsid w:val="00D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3E89"/>
  <w15:chartTrackingRefBased/>
  <w15:docId w15:val="{DE05F075-A279-408A-89BE-E89021E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2024-05-07T06:42:00Z</dcterms:created>
  <dcterms:modified xsi:type="dcterms:W3CDTF">2024-05-07T06:55:00Z</dcterms:modified>
</cp:coreProperties>
</file>